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Layout w:type="fixed"/>
        <w:tblLook w:val="04A0"/>
      </w:tblPr>
      <w:tblGrid>
        <w:gridCol w:w="1594"/>
        <w:gridCol w:w="1984"/>
        <w:gridCol w:w="5954"/>
      </w:tblGrid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  <w:r w:rsidRPr="005D7B7B">
              <w:rPr>
                <w:b/>
                <w:bCs/>
                <w:sz w:val="24"/>
                <w:szCs w:val="24"/>
              </w:rPr>
              <w:t xml:space="preserve">Приложение № 3  к решению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  <w:r w:rsidRPr="005D7B7B">
              <w:rPr>
                <w:b/>
                <w:bCs/>
                <w:sz w:val="24"/>
                <w:szCs w:val="24"/>
              </w:rPr>
              <w:t xml:space="preserve">Собрания депутатов Ртищевского   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  <w:r w:rsidRPr="005D7B7B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436C9E" w:rsidRDefault="0015459F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76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D7B7B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Ртищевского муниципальн</w:t>
            </w:r>
            <w:r w:rsidRPr="005D7B7B">
              <w:rPr>
                <w:b/>
                <w:bCs/>
                <w:sz w:val="24"/>
                <w:szCs w:val="24"/>
              </w:rPr>
              <w:t>о</w:t>
            </w:r>
            <w:r w:rsidRPr="005D7B7B">
              <w:rPr>
                <w:b/>
                <w:bCs/>
                <w:sz w:val="24"/>
                <w:szCs w:val="24"/>
              </w:rPr>
              <w:t xml:space="preserve">го района на 2020 год и на плановый период 2021 и 2022 годов                               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Код админис</w:t>
            </w:r>
            <w:r w:rsidRPr="005D7B7B">
              <w:rPr>
                <w:b/>
                <w:bCs/>
              </w:rPr>
              <w:t>т</w:t>
            </w:r>
            <w:r w:rsidRPr="005D7B7B">
              <w:rPr>
                <w:b/>
                <w:bCs/>
              </w:rPr>
              <w:t>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Наименование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3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 xml:space="preserve">Финансовое управление администрации </w:t>
            </w:r>
            <w:r w:rsidRPr="005D7B7B">
              <w:rPr>
                <w:b/>
                <w:bCs/>
              </w:rPr>
              <w:br/>
              <w:t>Ртищевского муниципального  района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11705050050000180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неналоговые доходы бюджетов муниципальных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20215001050000150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5D7B7B">
              <w:t>е</w:t>
            </w:r>
            <w:r w:rsidRPr="005D7B7B">
              <w:t>дерации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20215002050000150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Дотации бюджетам муниципальных районов на поддержку мер по обеспечению сб</w:t>
            </w:r>
            <w:r w:rsidRPr="005D7B7B">
              <w:t>а</w:t>
            </w:r>
            <w:r w:rsidRPr="005D7B7B">
              <w:t xml:space="preserve">лансированности бюджетов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20216549050000150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Дотации (гранты) бюджетам муниципальных районов за достижение показателей деятельности орг</w:t>
            </w:r>
            <w:r w:rsidRPr="005D7B7B">
              <w:t>а</w:t>
            </w:r>
            <w:r w:rsidRPr="005D7B7B">
              <w:t>нов местного самоуправления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 xml:space="preserve"> 20229999050069150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выра</w:t>
            </w:r>
            <w:r w:rsidRPr="005D7B7B">
              <w:t>в</w:t>
            </w:r>
            <w:r w:rsidRPr="005D7B7B">
              <w:t>нивание возможностей местных бюджетов по обеспечению пов</w:t>
            </w:r>
            <w:r w:rsidRPr="005D7B7B">
              <w:t>ы</w:t>
            </w:r>
            <w:r w:rsidRPr="005D7B7B">
              <w:t>шения оплаты труда отдельным категориям работников бюджетной сф</w:t>
            </w:r>
            <w:r w:rsidRPr="005D7B7B">
              <w:t>е</w:t>
            </w:r>
            <w:r w:rsidRPr="005D7B7B">
              <w:t>ры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20229999050074150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области на реализ</w:t>
            </w:r>
            <w:r w:rsidRPr="005D7B7B">
              <w:t>а</w:t>
            </w:r>
            <w:r w:rsidRPr="005D7B7B">
              <w:t>цию расходных обязательств, возникающих при выполнении полномочий по решению вопросов м</w:t>
            </w:r>
            <w:r w:rsidRPr="005D7B7B">
              <w:t>е</w:t>
            </w:r>
            <w:r w:rsidRPr="005D7B7B">
              <w:t xml:space="preserve">стного значения 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20229999050075150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обесп</w:t>
            </w:r>
            <w:r w:rsidRPr="005D7B7B">
              <w:t>е</w:t>
            </w:r>
            <w:r w:rsidRPr="005D7B7B">
              <w:t>чение повышения оплаты труда некоторых категорий работников муниципал</w:t>
            </w:r>
            <w:r w:rsidRPr="005D7B7B">
              <w:t>ь</w:t>
            </w:r>
            <w:r w:rsidRPr="005D7B7B">
              <w:t>ных учреждений</w:t>
            </w:r>
          </w:p>
        </w:tc>
      </w:tr>
      <w:tr w:rsidR="0015459F" w:rsidRPr="005D7B7B" w:rsidTr="002F2B93">
        <w:trPr>
          <w:trHeight w:val="65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20229999050077150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9F" w:rsidRPr="005D7B7B" w:rsidRDefault="0015459F" w:rsidP="002F2B93">
            <w:r w:rsidRPr="005D7B7B">
              <w:t>Субсидии бюджетам  муниципальных районов области на выпо</w:t>
            </w:r>
            <w:r w:rsidRPr="005D7B7B">
              <w:t>л</w:t>
            </w:r>
            <w:r w:rsidRPr="005D7B7B">
              <w:t>нение расходных обязательств, связанных с погашением проср</w:t>
            </w:r>
            <w:r w:rsidRPr="005D7B7B">
              <w:t>о</w:t>
            </w:r>
            <w:r w:rsidRPr="005D7B7B">
              <w:t>ченной кредиторской задолженности, образовавшейся по состо</w:t>
            </w:r>
            <w:r w:rsidRPr="005D7B7B">
              <w:t>я</w:t>
            </w:r>
            <w:r w:rsidRPr="005D7B7B">
              <w:t>нию на 1 января 2018 года, по уплате начислений на выплаты по оплате труда, налогов, оказанию мер социальной поддержки населения, о</w:t>
            </w:r>
            <w:r w:rsidRPr="005D7B7B">
              <w:t>п</w:t>
            </w:r>
            <w:r w:rsidRPr="005D7B7B">
              <w:t>лате коммунальных услуг и исполнительных листов</w:t>
            </w:r>
          </w:p>
        </w:tc>
      </w:tr>
      <w:tr w:rsidR="0015459F" w:rsidRPr="005D7B7B" w:rsidTr="002F2B93">
        <w:trPr>
          <w:trHeight w:val="1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20229999050078150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сохр</w:t>
            </w:r>
            <w:r w:rsidRPr="005D7B7B">
              <w:t>а</w:t>
            </w:r>
            <w:r w:rsidRPr="005D7B7B">
              <w:t>нение достигнутых показателей повышения оплаты труда отдел</w:t>
            </w:r>
            <w:r w:rsidRPr="005D7B7B">
              <w:t>ь</w:t>
            </w:r>
            <w:r w:rsidRPr="005D7B7B">
              <w:t>ных категорий работников бюджетной сферы</w:t>
            </w:r>
          </w:p>
        </w:tc>
      </w:tr>
      <w:tr w:rsidR="0015459F" w:rsidRPr="005D7B7B" w:rsidTr="002F2B93">
        <w:trPr>
          <w:trHeight w:val="1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на выполнение передаваемых полн</w:t>
            </w:r>
            <w:r w:rsidRPr="005D7B7B">
              <w:t>о</w:t>
            </w:r>
            <w:r w:rsidRPr="005D7B7B">
              <w:t>мочий субъектов Российской Федерации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испо</w:t>
            </w:r>
            <w:r w:rsidRPr="005D7B7B">
              <w:t>л</w:t>
            </w:r>
            <w:r w:rsidRPr="005D7B7B">
              <w:t>нение  государственных полномочий  по расчету и предоставл</w:t>
            </w:r>
            <w:r w:rsidRPr="005D7B7B">
              <w:t>е</w:t>
            </w:r>
            <w:r w:rsidRPr="005D7B7B">
              <w:t>нию дотаций поселениям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lastRenderedPageBreak/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20240014050001150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бюджету муниц</w:t>
            </w:r>
            <w:r w:rsidRPr="005D7B7B">
              <w:t>и</w:t>
            </w:r>
            <w:r w:rsidRPr="005D7B7B">
              <w:t>пального района из бюджетов поселений на выполнение полном</w:t>
            </w:r>
            <w:r w:rsidRPr="005D7B7B">
              <w:t>о</w:t>
            </w:r>
            <w:r w:rsidRPr="005D7B7B">
              <w:t>чий по реформированию, исполнению бюджетов поселений и ко</w:t>
            </w:r>
            <w:r w:rsidRPr="005D7B7B">
              <w:t>н</w:t>
            </w:r>
            <w:r w:rsidRPr="005D7B7B">
              <w:t>тролю за исполнением данного бюджета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20240014050002150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бюджету муниц</w:t>
            </w:r>
            <w:r w:rsidRPr="005D7B7B">
              <w:t>и</w:t>
            </w:r>
            <w:r w:rsidRPr="005D7B7B">
              <w:t>пального района из бюджетов поселений на выполнение полномочий по организ</w:t>
            </w:r>
            <w:r w:rsidRPr="005D7B7B">
              <w:t>а</w:t>
            </w:r>
            <w:r w:rsidRPr="005D7B7B">
              <w:t>ции в границах поселений тепло- и водоснабжения населения, водоотведения, снабжения населения топл</w:t>
            </w:r>
            <w:r w:rsidRPr="005D7B7B">
              <w:t>и</w:t>
            </w:r>
            <w:r w:rsidRPr="005D7B7B">
              <w:t>вом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20249999050006150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</w:t>
            </w:r>
            <w:r w:rsidRPr="005D7B7B">
              <w:t>и</w:t>
            </w:r>
            <w:r w:rsidRPr="005D7B7B">
              <w:t>пальных районов области за счет средств резервного фонда Правительства Сар</w:t>
            </w:r>
            <w:r w:rsidRPr="005D7B7B">
              <w:t>а</w:t>
            </w:r>
            <w:r w:rsidRPr="005D7B7B">
              <w:t>товской области</w:t>
            </w:r>
          </w:p>
        </w:tc>
      </w:tr>
      <w:tr w:rsidR="0015459F" w:rsidRPr="005D7B7B" w:rsidTr="002F2B93">
        <w:trPr>
          <w:trHeight w:val="1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20249999050013150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</w:t>
            </w:r>
            <w:r w:rsidRPr="005D7B7B">
              <w:t>и</w:t>
            </w:r>
            <w:r w:rsidRPr="005D7B7B">
              <w:t>пальных районов области  в целях обеспечения надлежащего осуществления по</w:t>
            </w:r>
            <w:r w:rsidRPr="005D7B7B">
              <w:t>л</w:t>
            </w:r>
            <w:r w:rsidRPr="005D7B7B">
              <w:t>номочий по решению вопросов местного значения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20249999050017150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 муниципальных районов области стимул</w:t>
            </w:r>
            <w:r w:rsidRPr="005D7B7B">
              <w:t>и</w:t>
            </w:r>
            <w:r w:rsidRPr="005D7B7B">
              <w:t>рующего (поощрительного) характера</w:t>
            </w:r>
          </w:p>
        </w:tc>
      </w:tr>
      <w:tr w:rsidR="0015459F" w:rsidRPr="005D7B7B" w:rsidTr="002F2B93">
        <w:trPr>
          <w:trHeight w:val="18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20290024050000150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в бюджеты муниципальных районов от бюджетов субъектов Ро</w:t>
            </w:r>
            <w:r w:rsidRPr="005D7B7B">
              <w:t>с</w:t>
            </w:r>
            <w:r w:rsidRPr="005D7B7B">
              <w:t>сийской Федерации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Безвозмездные поступления от государственных (муниципальных) организаций в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Предоставление государственными (муниципальными) организ</w:t>
            </w:r>
            <w:r w:rsidRPr="005D7B7B">
              <w:t>а</w:t>
            </w:r>
            <w:r w:rsidRPr="005D7B7B">
              <w:t>циями грантов для получателей средств бюджетов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Поступления от денежных пожертвований, предоставляемых государс</w:t>
            </w:r>
            <w:r w:rsidRPr="005D7B7B">
              <w:t>т</w:t>
            </w:r>
            <w:r w:rsidRPr="005D7B7B">
              <w:t>венными (муниципальными) организациями получателям средств бюджетов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20305099050000150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от государственных (муниципальных) организ</w:t>
            </w:r>
            <w:r w:rsidRPr="005D7B7B">
              <w:t>а</w:t>
            </w:r>
            <w:r w:rsidRPr="005D7B7B">
              <w:t>ций в бюджеты муниципальных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Безвозмездные поступления от государственных (муниципальных) организаций в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Предоставление государственными (муниципальными) организ</w:t>
            </w:r>
            <w:r w:rsidRPr="005D7B7B">
              <w:t>а</w:t>
            </w:r>
            <w:r w:rsidRPr="005D7B7B">
              <w:t>циями грантов для получателей средств бюджетов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Поступления от денежных пожертвований, предоставляемых государс</w:t>
            </w:r>
            <w:r w:rsidRPr="005D7B7B">
              <w:t>т</w:t>
            </w:r>
            <w:r w:rsidRPr="005D7B7B">
              <w:t>венными (муниципальными) организациями получателям средств бюджетов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20305099050000150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от государственных (муниципальных) организ</w:t>
            </w:r>
            <w:r w:rsidRPr="005D7B7B">
              <w:t>а</w:t>
            </w:r>
            <w:r w:rsidRPr="005D7B7B">
              <w:t>ций в бюджеты муниципальных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20405000050000150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Безвозмездные поступления от негосударственных организаций в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20405010050000150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Предоставление негосударственными организациями грантов для получателей средств бюджетов м</w:t>
            </w:r>
            <w:r w:rsidRPr="005D7B7B">
              <w:t>у</w:t>
            </w:r>
            <w:r w:rsidRPr="005D7B7B">
              <w:t>ниципальных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20405020050000150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Поступления от денежных пожертвований, предоставляемых негосуда</w:t>
            </w:r>
            <w:r w:rsidRPr="005D7B7B">
              <w:t>р</w:t>
            </w:r>
            <w:r w:rsidRPr="005D7B7B">
              <w:t>ственными организациями получателям средств бюджетов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20405099050000150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от негосударственных орг</w:t>
            </w:r>
            <w:r w:rsidRPr="005D7B7B">
              <w:t>а</w:t>
            </w:r>
            <w:r w:rsidRPr="005D7B7B">
              <w:t>низаций в бюджеты муниципальных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20705000050000150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в бюджеты муниципальных районов</w:t>
            </w:r>
          </w:p>
        </w:tc>
      </w:tr>
      <w:tr w:rsidR="0015459F" w:rsidRPr="005D7B7B" w:rsidTr="002F2B93">
        <w:trPr>
          <w:trHeight w:val="12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20705010050000150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Безвозмездные поступления от физических и юридических лиц на финансовое обеспечение дорожной деятельности, в том числе добровол</w:t>
            </w:r>
            <w:r w:rsidRPr="005D7B7B">
              <w:t>ь</w:t>
            </w:r>
            <w:r w:rsidRPr="005D7B7B">
              <w:t>ных пожертвований, в отношении автомобильных дорог общего пользования местного значения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20705020050000150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Поступления от денежных пожертвований, предоставляемых физическими лицами получателям средств бюджетов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20705030050000150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безвозмездные поступления в бюджеты муниципальных районов</w:t>
            </w:r>
          </w:p>
        </w:tc>
      </w:tr>
      <w:tr w:rsidR="0015459F" w:rsidRPr="005D7B7B" w:rsidTr="002F2B93">
        <w:trPr>
          <w:trHeight w:val="14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20805000050000150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Перечисления из бюджетов муниципальных районов (в бюджеты мун</w:t>
            </w:r>
            <w:r w:rsidRPr="005D7B7B">
              <w:t>и</w:t>
            </w:r>
            <w:r w:rsidRPr="005D7B7B">
              <w:t>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</w:t>
            </w:r>
            <w:r w:rsidRPr="005D7B7B">
              <w:t>е</w:t>
            </w:r>
            <w:r w:rsidRPr="005D7B7B">
              <w:t>менное осуществление такого возврата и процентов, начисленных на изли</w:t>
            </w:r>
            <w:r w:rsidRPr="005D7B7B">
              <w:t>ш</w:t>
            </w:r>
            <w:r w:rsidRPr="005D7B7B">
              <w:t>не взысканные суммы</w:t>
            </w:r>
          </w:p>
        </w:tc>
      </w:tr>
      <w:tr w:rsidR="0015459F" w:rsidRPr="005D7B7B" w:rsidTr="002F2B93">
        <w:trPr>
          <w:trHeight w:val="2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20805000100000150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Перечисления из бюджетов сельских поселений (в бюджеты сел</w:t>
            </w:r>
            <w:r w:rsidRPr="005D7B7B">
              <w:t>ь</w:t>
            </w:r>
            <w:r w:rsidRPr="005D7B7B">
              <w:t>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5D7B7B">
              <w:t>у</w:t>
            </w:r>
            <w:r w:rsidRPr="005D7B7B">
              <w:t>ществление такого возврата и процентов, начисленных на изли</w:t>
            </w:r>
            <w:r w:rsidRPr="005D7B7B">
              <w:t>ш</w:t>
            </w:r>
            <w:r w:rsidRPr="005D7B7B">
              <w:t>не взысканные суммы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бюджет</w:t>
            </w:r>
            <w:r w:rsidRPr="005D7B7B">
              <w:t>а</w:t>
            </w:r>
            <w:r w:rsidRPr="005D7B7B">
              <w:t>ми бюджетной системы Российской Федерации остатков субсидий, субве</w:t>
            </w:r>
            <w:r w:rsidRPr="005D7B7B">
              <w:t>н</w:t>
            </w:r>
            <w:r w:rsidRPr="005D7B7B">
              <w:t>ций и иных межбюджетных трансфертов, имеющих целевое назначение, прошлых лет, а также от возврата организ</w:t>
            </w:r>
            <w:r w:rsidRPr="005D7B7B">
              <w:t>а</w:t>
            </w:r>
            <w:r w:rsidRPr="005D7B7B">
              <w:t>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бюджетными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автономными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5D7B7B">
              <w:t>р</w:t>
            </w:r>
            <w:r w:rsidRPr="005D7B7B">
              <w:t>тов, имеющих целевое назначение, прошлых лет из бюджетов п</w:t>
            </w:r>
            <w:r w:rsidRPr="005D7B7B">
              <w:t>о</w:t>
            </w:r>
            <w:r w:rsidRPr="005D7B7B">
              <w:t>селений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Отдел по управлению имуществом и земельным отношениям администрации Ртищевского муниципального района Саратовской о</w:t>
            </w:r>
            <w:r w:rsidRPr="005D7B7B">
              <w:rPr>
                <w:b/>
                <w:bCs/>
              </w:rPr>
              <w:t>б</w:t>
            </w:r>
            <w:r w:rsidRPr="005D7B7B">
              <w:rPr>
                <w:b/>
                <w:bCs/>
              </w:rPr>
              <w:t>ласти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10807150011000110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Государственная пошлина за выдачу разрешения на установку  рекламной констру</w:t>
            </w:r>
            <w:r w:rsidRPr="005D7B7B">
              <w:t>к</w:t>
            </w:r>
            <w:r w:rsidRPr="005D7B7B">
              <w:t>ции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10807150014000110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Государственная пошлина за выдачу разрешения на установку  рекламной констру</w:t>
            </w:r>
            <w:r w:rsidRPr="005D7B7B">
              <w:t>к</w:t>
            </w:r>
            <w:r w:rsidRPr="005D7B7B">
              <w:t>ции</w:t>
            </w:r>
          </w:p>
        </w:tc>
      </w:tr>
      <w:tr w:rsidR="0015459F" w:rsidRPr="005D7B7B" w:rsidTr="002F2B93">
        <w:trPr>
          <w:trHeight w:val="2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11105025050000120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Доходы, получаемые в виде арендной платы, а также средства от продажи права  на заключение договоров  аренды за земли, нах</w:t>
            </w:r>
            <w:r w:rsidRPr="005D7B7B">
              <w:t>о</w:t>
            </w:r>
            <w:r w:rsidRPr="005D7B7B">
              <w:t>дящиеся  в собственности муниципальных районов (за исключ</w:t>
            </w:r>
            <w:r w:rsidRPr="005D7B7B">
              <w:t>е</w:t>
            </w:r>
            <w:r w:rsidRPr="005D7B7B">
              <w:t>нием земельных участков муниципальных бюджетных и автоно</w:t>
            </w:r>
            <w:r w:rsidRPr="005D7B7B">
              <w:t>м</w:t>
            </w:r>
            <w:r w:rsidRPr="005D7B7B">
              <w:t xml:space="preserve">ных учреждений. </w:t>
            </w:r>
          </w:p>
        </w:tc>
      </w:tr>
      <w:tr w:rsidR="0015459F" w:rsidRPr="005D7B7B" w:rsidTr="002F2B93">
        <w:trPr>
          <w:trHeight w:val="2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11105025100000120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Доходы, получаемые в виде арендной платы, а также средства от продажи права  на заключение договоров  аренды за земли, нах</w:t>
            </w:r>
            <w:r w:rsidRPr="005D7B7B">
              <w:t>о</w:t>
            </w:r>
            <w:r w:rsidRPr="005D7B7B">
              <w:t>дящиеся  в собственности сельских поселений (за исключением земельных участков муниципальных бюджетных и авт</w:t>
            </w:r>
            <w:r w:rsidRPr="005D7B7B">
              <w:t>о</w:t>
            </w:r>
            <w:r w:rsidRPr="005D7B7B">
              <w:t>номных учреждений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11105035050000120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сдачи в аренду имущества, находящегося в оперативном управлении  о</w:t>
            </w:r>
            <w:r w:rsidRPr="005D7B7B">
              <w:t>р</w:t>
            </w:r>
            <w:r w:rsidRPr="005D7B7B">
              <w:t>ганов управления муниципальных районов и созданных ими учреждений  (за исключением имущества муниципальных автоно</w:t>
            </w:r>
            <w:r w:rsidRPr="005D7B7B">
              <w:t>м</w:t>
            </w:r>
            <w:r w:rsidRPr="005D7B7B">
              <w:t>ных  учреждений)</w:t>
            </w:r>
          </w:p>
        </w:tc>
      </w:tr>
      <w:tr w:rsidR="0015459F" w:rsidRPr="005D7B7B" w:rsidTr="002F2B93">
        <w:trPr>
          <w:trHeight w:val="5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11105313050000120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</w:t>
            </w:r>
            <w:r w:rsidRPr="005D7B7B">
              <w:t>т</w:t>
            </w:r>
            <w:r w:rsidRPr="005D7B7B">
              <w:t>венными или муниципальными предприятиями, либо государс</w:t>
            </w:r>
            <w:r w:rsidRPr="005D7B7B">
              <w:t>т</w:t>
            </w:r>
            <w:r w:rsidRPr="005D7B7B">
              <w:t>венными или муниципальными учреждениями в отношении земельных участков, государс</w:t>
            </w:r>
            <w:r w:rsidRPr="005D7B7B">
              <w:t>т</w:t>
            </w:r>
            <w:r w:rsidRPr="005D7B7B">
              <w:t>венная собственность на которые не разграничена и которые расположены в границах сельских пос</w:t>
            </w:r>
            <w:r w:rsidRPr="005D7B7B">
              <w:t>е</w:t>
            </w:r>
            <w:r w:rsidRPr="005D7B7B">
              <w:t>лений и межселенных территорий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11107015050000120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перечисления части прибыли, остающейся после упл</w:t>
            </w:r>
            <w:r w:rsidRPr="005D7B7B">
              <w:t>а</w:t>
            </w:r>
            <w:r w:rsidRPr="005D7B7B">
              <w:t>ты налогов и иных обязательных платежей муниципальных  унитарных предприятий, созданных мун</w:t>
            </w:r>
            <w:r w:rsidRPr="005D7B7B">
              <w:t>и</w:t>
            </w:r>
            <w:r w:rsidRPr="005D7B7B">
              <w:t>ципальными районами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11108050050000120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>
              <w:t>Средства</w:t>
            </w:r>
            <w:r w:rsidRPr="005D7B7B">
              <w:t>, получаемые  от передачи имущества, находящихся в собственности муниципальных районов  ( за исключением имущ</w:t>
            </w:r>
            <w:r w:rsidRPr="005D7B7B">
              <w:t>е</w:t>
            </w:r>
            <w:r w:rsidRPr="005D7B7B">
              <w:t>ства  муниципальных автономных учреждений, а также имущес</w:t>
            </w:r>
            <w:r w:rsidRPr="005D7B7B">
              <w:t>т</w:t>
            </w:r>
            <w:r w:rsidRPr="005D7B7B">
              <w:t>ва муниципальных унитарных предприятий, в том числе казе</w:t>
            </w:r>
            <w:r w:rsidRPr="005D7B7B">
              <w:t>н</w:t>
            </w:r>
            <w:r w:rsidRPr="005D7B7B">
              <w:t xml:space="preserve">ных, в залог, в доверительное управление  </w:t>
            </w:r>
          </w:p>
        </w:tc>
      </w:tr>
      <w:tr w:rsidR="0015459F" w:rsidRPr="005D7B7B" w:rsidTr="002F2B93">
        <w:trPr>
          <w:trHeight w:val="56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11109045050000120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поступления от использования имущества, находящегося  в собственности муниципальных районов (за исключением им</w:t>
            </w:r>
            <w:r w:rsidRPr="005D7B7B">
              <w:t>у</w:t>
            </w:r>
            <w:r w:rsidRPr="005D7B7B">
              <w:t>щества муниципальных автономных учреждений, а также имущ</w:t>
            </w:r>
            <w:r w:rsidRPr="005D7B7B">
              <w:t>е</w:t>
            </w:r>
            <w:r w:rsidRPr="005D7B7B">
              <w:t>ства муниципальных унитарных предприятий, в том числе казе</w:t>
            </w:r>
            <w:r w:rsidRPr="005D7B7B">
              <w:t>н</w:t>
            </w:r>
            <w:r w:rsidRPr="005D7B7B">
              <w:t>ных)</w:t>
            </w:r>
          </w:p>
        </w:tc>
      </w:tr>
      <w:tr w:rsidR="0015459F" w:rsidRPr="005D7B7B" w:rsidTr="002F2B93">
        <w:trPr>
          <w:trHeight w:val="1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11105013050000120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Доходы, получаемые в виде арендной платы за земельные участки, гос</w:t>
            </w:r>
            <w:r w:rsidRPr="005D7B7B">
              <w:t>у</w:t>
            </w:r>
            <w:r w:rsidRPr="005D7B7B">
              <w:t>дарственная собственность на которые  не разграничена и которые  расположены в границах сельских  поселений и межс</w:t>
            </w:r>
            <w:r w:rsidRPr="005D7B7B">
              <w:t>е</w:t>
            </w:r>
            <w:r w:rsidRPr="005D7B7B">
              <w:t>ленных территорий муниципальных районов, а также средства от продажи права на заключение договоров аренды указанных  з</w:t>
            </w:r>
            <w:r w:rsidRPr="005D7B7B">
              <w:t>е</w:t>
            </w:r>
            <w:r w:rsidRPr="005D7B7B">
              <w:t>мельных участков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11301995050000130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доходы  от оказания платных услуг получателями средств бюджетов муниципальных районов  и компенсации затрат бюджетов мун</w:t>
            </w:r>
            <w:r w:rsidRPr="005D7B7B">
              <w:t>и</w:t>
            </w:r>
            <w:r w:rsidRPr="005D7B7B">
              <w:t>ципальных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11302065050000130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Доходы, поступающие в порядке возмещения расходов. Понесенных в связи с эксплуатацией имущ</w:t>
            </w:r>
            <w:r w:rsidRPr="005D7B7B">
              <w:t>е</w:t>
            </w:r>
            <w:r w:rsidRPr="005D7B7B">
              <w:t>ства муниципальных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11302995050000130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доходы от компенсации затрат бюджетов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11401050050000410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продажи квартир, находящихся в собственности муниципал</w:t>
            </w:r>
            <w:r w:rsidRPr="005D7B7B">
              <w:t>ь</w:t>
            </w:r>
            <w:r w:rsidRPr="005D7B7B">
              <w:t>ных районов</w:t>
            </w:r>
          </w:p>
        </w:tc>
      </w:tr>
      <w:tr w:rsidR="0015459F" w:rsidRPr="005D7B7B" w:rsidTr="002F2B93">
        <w:trPr>
          <w:trHeight w:val="32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11402052050000410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реализации имущества, находящегося в  оперативном управлении учреждений, находящихся в ведении органов упра</w:t>
            </w:r>
            <w:r w:rsidRPr="005D7B7B">
              <w:t>в</w:t>
            </w:r>
            <w:r w:rsidRPr="005D7B7B">
              <w:t>ления муниципальных районов (за исключением  имущества м</w:t>
            </w:r>
            <w:r w:rsidRPr="005D7B7B">
              <w:t>у</w:t>
            </w:r>
            <w:r w:rsidRPr="005D7B7B">
              <w:t>ниципальных бюджетных и автономных учреждений) в части ре</w:t>
            </w:r>
            <w:r w:rsidRPr="005D7B7B">
              <w:t>а</w:t>
            </w:r>
            <w:r w:rsidRPr="005D7B7B">
              <w:t>лизации основных средств по указанному имуществу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11402053050000410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реализации иного имущества, находящегося в  собственности муниц</w:t>
            </w:r>
            <w:r w:rsidRPr="005D7B7B">
              <w:t>и</w:t>
            </w:r>
            <w:r w:rsidRPr="005D7B7B">
              <w:t>пальных районов (за исключением  имущества муниципальных бюджетных и авт</w:t>
            </w:r>
            <w:r w:rsidRPr="005D7B7B">
              <w:t>о</w:t>
            </w:r>
            <w:r w:rsidRPr="005D7B7B">
              <w:t>номных учреждений) в части реализации основных средств по указанному имущес</w:t>
            </w:r>
            <w:r w:rsidRPr="005D7B7B">
              <w:t>т</w:t>
            </w:r>
            <w:r w:rsidRPr="005D7B7B">
              <w:t>ву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11402052050000440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реализации имущества, находящегося в  оперативном управлении учреждений. Находящихся в ведении органов упра</w:t>
            </w:r>
            <w:r w:rsidRPr="005D7B7B">
              <w:t>в</w:t>
            </w:r>
            <w:r w:rsidRPr="005D7B7B">
              <w:t>ления муниципальных районов (за исключением имущества муниципальных бю</w:t>
            </w:r>
            <w:r w:rsidRPr="005D7B7B">
              <w:t>д</w:t>
            </w:r>
            <w:r w:rsidRPr="005D7B7B">
              <w:t>жетных и автономных учреждений),   в части реализации материальных запасов по ук</w:t>
            </w:r>
            <w:r w:rsidRPr="005D7B7B">
              <w:t>а</w:t>
            </w:r>
            <w:r w:rsidRPr="005D7B7B">
              <w:t>занному имуществу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11402053050000440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реализации имущества, находящегося в  собственности муниципальных районов (за исключением имущества муниц</w:t>
            </w:r>
            <w:r w:rsidRPr="005D7B7B">
              <w:t>и</w:t>
            </w:r>
            <w:r w:rsidRPr="005D7B7B">
              <w:t>пальных бюджетных и автономных учреждений),   в части реал</w:t>
            </w:r>
            <w:r w:rsidRPr="005D7B7B">
              <w:t>и</w:t>
            </w:r>
            <w:r w:rsidRPr="005D7B7B">
              <w:t>зации материальных запасов по указанному имуществу</w:t>
            </w:r>
          </w:p>
        </w:tc>
      </w:tr>
      <w:tr w:rsidR="0015459F" w:rsidRPr="005D7B7B" w:rsidTr="002F2B93">
        <w:trPr>
          <w:trHeight w:val="7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11406025050000430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продажи земельных участков, находящихся в собс</w:t>
            </w:r>
            <w:r w:rsidRPr="005D7B7B">
              <w:t>т</w:t>
            </w:r>
            <w:r w:rsidRPr="005D7B7B">
              <w:t>венности муниципальных районов( за исключением земельных участков муниципальных бюджетных и а</w:t>
            </w:r>
            <w:r w:rsidRPr="005D7B7B">
              <w:t>в</w:t>
            </w:r>
            <w:r w:rsidRPr="005D7B7B">
              <w:t xml:space="preserve">тономных учреждений)    </w:t>
            </w:r>
          </w:p>
        </w:tc>
      </w:tr>
      <w:tr w:rsidR="0015459F" w:rsidRPr="005D7B7B" w:rsidTr="002F2B93">
        <w:trPr>
          <w:trHeight w:val="22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11406025100000430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продажи земельных участков, находящихся в  собс</w:t>
            </w:r>
            <w:r w:rsidRPr="005D7B7B">
              <w:t>т</w:t>
            </w:r>
            <w:r w:rsidRPr="005D7B7B">
              <w:t>венности сельских поселений за исключением земельных участков муниципальных бюджетных и авт</w:t>
            </w:r>
            <w:r w:rsidRPr="005D7B7B">
              <w:t>о</w:t>
            </w:r>
            <w:r w:rsidRPr="005D7B7B">
              <w:t xml:space="preserve">номных учреждений  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11406013050000430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от продажи земельных участков, государственная собс</w:t>
            </w:r>
            <w:r w:rsidRPr="005D7B7B">
              <w:t>т</w:t>
            </w:r>
            <w:r w:rsidRPr="005D7B7B">
              <w:t>венность на которые не разграничена и которые расположены  в границах сельских поселений и межселенных территорий мун</w:t>
            </w:r>
            <w:r w:rsidRPr="005D7B7B">
              <w:t>и</w:t>
            </w:r>
            <w:r w:rsidRPr="005D7B7B">
              <w:t xml:space="preserve">ципальных районов   </w:t>
            </w:r>
          </w:p>
        </w:tc>
      </w:tr>
      <w:tr w:rsidR="0015459F" w:rsidRPr="005D7B7B" w:rsidTr="002F2B93">
        <w:trPr>
          <w:trHeight w:val="12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11406313050000430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Плата за увеличение площади земельных участков, находящихся в частной собственности, в результ</w:t>
            </w:r>
            <w:r w:rsidRPr="005D7B7B">
              <w:t>а</w:t>
            </w:r>
            <w:r w:rsidRPr="005D7B7B">
              <w:t>те перераспределения таких земельных участков и земель (или) земельных участков, государственная собстве</w:t>
            </w:r>
            <w:r w:rsidRPr="005D7B7B">
              <w:t>н</w:t>
            </w:r>
            <w:r w:rsidRPr="005D7B7B">
              <w:t>ность на которые не разграничена и которые расположены в границах сельских поселений и межселенных те</w:t>
            </w:r>
            <w:r w:rsidRPr="005D7B7B">
              <w:t>р</w:t>
            </w:r>
            <w:r w:rsidRPr="005D7B7B">
              <w:t>риторий муниципальных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11503050050000140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Сборы за выдачу лицензий органами местного самоуправления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11610123010000140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9F" w:rsidRPr="005D7B7B" w:rsidRDefault="0015459F" w:rsidP="002F2B93">
            <w:r w:rsidRPr="005D7B7B">
              <w:t>Доходы от денежных взысканий (штрафов), поступающие в счет пог</w:t>
            </w:r>
            <w:r w:rsidRPr="005D7B7B">
              <w:t>а</w:t>
            </w:r>
            <w:r w:rsidRPr="005D7B7B">
              <w:t>шения задолженности, образовавшейся до 1 января 2020 года, подлеж</w:t>
            </w:r>
            <w:r w:rsidRPr="005D7B7B">
              <w:t>а</w:t>
            </w:r>
            <w:r w:rsidRPr="005D7B7B">
              <w:t>щие зачислению в бюджет муниципального образования по нормативам, действующим в 2019 году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бюджеты муниц</w:t>
            </w:r>
            <w:r w:rsidRPr="005D7B7B">
              <w:t>и</w:t>
            </w:r>
            <w:r w:rsidRPr="005D7B7B">
              <w:t xml:space="preserve">пальных районов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организации предоставления гражданам субсидий на оплату жилого п</w:t>
            </w:r>
            <w:r w:rsidRPr="005D7B7B">
              <w:t>о</w:t>
            </w:r>
            <w:r w:rsidRPr="005D7B7B">
              <w:t xml:space="preserve">мещения и коммунальных услуг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20230024050016150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предоставлению гражд</w:t>
            </w:r>
            <w:r w:rsidRPr="005D7B7B">
              <w:t>а</w:t>
            </w:r>
            <w:r w:rsidRPr="005D7B7B">
              <w:t>нам субсидий на оплату жилого помещения и коммунальных услуг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20249999050026150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</w:t>
            </w:r>
            <w:r w:rsidRPr="005D7B7B">
              <w:t>и</w:t>
            </w:r>
            <w:r w:rsidRPr="005D7B7B">
              <w:t>пальных районов области на содействие в уточнении сведений о границах нас</w:t>
            </w:r>
            <w:r w:rsidRPr="005D7B7B">
              <w:t>е</w:t>
            </w:r>
            <w:r w:rsidRPr="005D7B7B">
              <w:t>ленных пунктов и территориальных зон в Едином государственном ре</w:t>
            </w:r>
            <w:r w:rsidRPr="005D7B7B">
              <w:t>е</w:t>
            </w:r>
            <w:r w:rsidRPr="005D7B7B">
              <w:t>стре недвижимости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Администрация Ртищевского муниципального района Сар</w:t>
            </w:r>
            <w:r w:rsidRPr="005D7B7B">
              <w:rPr>
                <w:b/>
                <w:bCs/>
              </w:rPr>
              <w:t>а</w:t>
            </w:r>
            <w:r w:rsidRPr="005D7B7B">
              <w:rPr>
                <w:b/>
                <w:bCs/>
              </w:rPr>
              <w:t>товской области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11610123010000140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9F" w:rsidRPr="005D7B7B" w:rsidRDefault="0015459F" w:rsidP="002F2B93">
            <w:r w:rsidRPr="005D7B7B">
              <w:t>Доходы от денежных взысканий (штрафов), поступающие в счет пог</w:t>
            </w:r>
            <w:r w:rsidRPr="005D7B7B">
              <w:t>а</w:t>
            </w:r>
            <w:r w:rsidRPr="005D7B7B">
              <w:t>шения задолженности, образовавшейся до 1 января 2020 года, подлеж</w:t>
            </w:r>
            <w:r w:rsidRPr="005D7B7B">
              <w:t>а</w:t>
            </w:r>
            <w:r w:rsidRPr="005D7B7B">
              <w:t>щие зачислению в бюджет муниципального образования по нормативам, действующим в 2019 году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>ципальных нужд для нужд муниципальных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11651030020000140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(штрафы), установленные законами субъе</w:t>
            </w:r>
            <w:r w:rsidRPr="005D7B7B">
              <w:t>к</w:t>
            </w:r>
            <w:r w:rsidRPr="005D7B7B">
              <w:t>тов Российской Федерации за несоблюдение муниципальных пр</w:t>
            </w:r>
            <w:r w:rsidRPr="005D7B7B">
              <w:t>а</w:t>
            </w:r>
            <w:r w:rsidRPr="005D7B7B">
              <w:t>вовых актов, зачисляемые в бюджеты муниципальных районов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11690050050000140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поступления от денежных взысканий (штрафов) и иных сумм в возмещение ущерба, зачисляемые в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бюджеты муниц</w:t>
            </w:r>
            <w:r w:rsidRPr="005D7B7B">
              <w:t>и</w:t>
            </w:r>
            <w:r w:rsidRPr="005D7B7B">
              <w:t xml:space="preserve">пальных районов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20225027050000150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реализацию меропри</w:t>
            </w:r>
            <w:r w:rsidRPr="005D7B7B">
              <w:t>я</w:t>
            </w:r>
            <w:r w:rsidRPr="005D7B7B">
              <w:t>тий государственной программы Российской Федерации "Доступная среда" на 2011 - 2025 годы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20225527050000150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государственную по</w:t>
            </w:r>
            <w:r w:rsidRPr="005D7B7B">
              <w:t>д</w:t>
            </w:r>
            <w:r w:rsidRPr="005D7B7B">
              <w:t>держку малого и среднего предпринимательства, включая крестьянские (фермерские) хозяйства, а также на реализацию мероприятий по по</w:t>
            </w:r>
            <w:r w:rsidRPr="005D7B7B">
              <w:t>д</w:t>
            </w:r>
            <w:r w:rsidRPr="005D7B7B">
              <w:t>держке молодежного предпринимательства</w:t>
            </w:r>
          </w:p>
        </w:tc>
      </w:tr>
      <w:tr w:rsidR="0015459F" w:rsidRPr="005D7B7B" w:rsidTr="002F2B93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20225497050000150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реализацию мероприятий по обе</w:t>
            </w:r>
            <w:r w:rsidRPr="005D7B7B">
              <w:t>с</w:t>
            </w:r>
            <w:r w:rsidRPr="005D7B7B">
              <w:t>печению жильем молодых семей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20229999050063150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 муниципальных районов области на обесп</w:t>
            </w:r>
            <w:r w:rsidRPr="005D7B7B">
              <w:t>е</w:t>
            </w:r>
            <w:r w:rsidRPr="005D7B7B">
              <w:t>чение капитального ремонта, ремонт и содержания автомобильных дорог о</w:t>
            </w:r>
            <w:r w:rsidRPr="005D7B7B">
              <w:t>б</w:t>
            </w:r>
            <w:r w:rsidRPr="005D7B7B">
              <w:t>щего пользования местного значения за счет средств областного доро</w:t>
            </w:r>
            <w:r w:rsidRPr="005D7B7B">
              <w:t>ж</w:t>
            </w:r>
            <w:r w:rsidRPr="005D7B7B">
              <w:t>ного фонда</w:t>
            </w:r>
          </w:p>
        </w:tc>
      </w:tr>
      <w:tr w:rsidR="0015459F" w:rsidRPr="005D7B7B" w:rsidTr="002F2B93">
        <w:trPr>
          <w:trHeight w:val="1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20229999050076150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области на прио</w:t>
            </w:r>
            <w:r w:rsidRPr="005D7B7B">
              <w:t>б</w:t>
            </w:r>
            <w:r w:rsidRPr="005D7B7B">
              <w:t>ретение дорожно-эксплуатационной техники, необходимой для выполнения комплекса работ по поддержанию надлежащего технического состояния а</w:t>
            </w:r>
            <w:r w:rsidRPr="005D7B7B">
              <w:t>в</w:t>
            </w:r>
            <w:r w:rsidRPr="005D7B7B">
              <w:t>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20229999050099150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обесп</w:t>
            </w:r>
            <w:r w:rsidRPr="005D7B7B">
              <w:t>е</w:t>
            </w:r>
            <w:r w:rsidRPr="005D7B7B">
              <w:t>чение капитального ремонта и ремонта автомобильных дорог общего польз</w:t>
            </w:r>
            <w:r w:rsidRPr="005D7B7B">
              <w:t>о</w:t>
            </w:r>
            <w:r w:rsidRPr="005D7B7B">
              <w:t>вания местного значения муниципальных районов области за счет средств областного дорожного фонда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20227372050000150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софинансиров</w:t>
            </w:r>
            <w:r w:rsidRPr="005D7B7B">
              <w:t>а</w:t>
            </w:r>
            <w:r w:rsidRPr="005D7B7B">
              <w:t>ние капитальных вложений в объекты государственной (муниц</w:t>
            </w:r>
            <w:r w:rsidRPr="005D7B7B">
              <w:t>и</w:t>
            </w:r>
            <w:r w:rsidRPr="005D7B7B">
              <w:t>пальной) собственности в рамках развития транспортной инфраструктуры на сел</w:t>
            </w:r>
            <w:r w:rsidRPr="005D7B7B">
              <w:t>ь</w:t>
            </w:r>
            <w:r w:rsidRPr="005D7B7B">
              <w:t>ских территориях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20235120050000150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 на осуществление полномочий по составлению (и</w:t>
            </w:r>
            <w:r w:rsidRPr="005D7B7B">
              <w:t>з</w:t>
            </w:r>
            <w:r w:rsidRPr="005D7B7B">
              <w:t>менению) списков кандидатов в присяжные заседатели федеральных судов общей юрисдикции в Российской Фед</w:t>
            </w:r>
            <w:r w:rsidRPr="005D7B7B">
              <w:t>е</w:t>
            </w:r>
            <w:r w:rsidRPr="005D7B7B">
              <w:t>рации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20230024050003150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созданию и организации деятельности комиссий по делам несоверше</w:t>
            </w:r>
            <w:r w:rsidRPr="005D7B7B">
              <w:t>н</w:t>
            </w:r>
            <w:r w:rsidRPr="005D7B7B">
              <w:t xml:space="preserve">нолетних и защите их прав </w:t>
            </w:r>
          </w:p>
        </w:tc>
      </w:tr>
      <w:tr w:rsidR="0015459F" w:rsidRPr="005D7B7B" w:rsidTr="002F2B93">
        <w:trPr>
          <w:trHeight w:val="1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20230024050008150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образованию и обеспечению деятельности администр</w:t>
            </w:r>
            <w:r w:rsidRPr="005D7B7B">
              <w:t>а</w:t>
            </w:r>
            <w:r w:rsidRPr="005D7B7B">
              <w:t>тивных комиссий, определению перечня должностных лиц, уполномоченных составлять протоколы об административных правонарушен</w:t>
            </w:r>
            <w:r w:rsidRPr="005D7B7B">
              <w:t>и</w:t>
            </w:r>
            <w:r w:rsidRPr="005D7B7B">
              <w:t xml:space="preserve">ях </w:t>
            </w:r>
          </w:p>
        </w:tc>
      </w:tr>
      <w:tr w:rsidR="0015459F" w:rsidRPr="005D7B7B" w:rsidTr="002F2B93">
        <w:trPr>
          <w:trHeight w:val="18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20230024050009150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на осуществление орг</w:t>
            </w:r>
            <w:r w:rsidRPr="005D7B7B">
              <w:t>а</w:t>
            </w:r>
            <w:r w:rsidRPr="005D7B7B">
              <w:t>нами местного самоуправления отдельных государственных полномочий по осуществлению  деятельности по опеке и попеч</w:t>
            </w:r>
            <w:r w:rsidRPr="005D7B7B">
              <w:t>и</w:t>
            </w:r>
            <w:r w:rsidRPr="005D7B7B">
              <w:t>тельству в отношении несовершеннолетних граждан в части ра</w:t>
            </w:r>
            <w:r w:rsidRPr="005D7B7B">
              <w:t>с</w:t>
            </w:r>
            <w:r w:rsidRPr="005D7B7B">
              <w:t>ходов на оплату труда, уплату страховых взносов по обязательн</w:t>
            </w:r>
            <w:r w:rsidRPr="005D7B7B">
              <w:t>о</w:t>
            </w:r>
            <w:r w:rsidRPr="005D7B7B">
              <w:t>му социальному страхованию в государственные внебюджетные фонды Российской Федерации,  обеспечение деятельности шта</w:t>
            </w:r>
            <w:r w:rsidRPr="005D7B7B">
              <w:t>т</w:t>
            </w:r>
            <w:r w:rsidRPr="005D7B7B">
              <w:t>ных работников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</w:t>
            </w:r>
            <w:r w:rsidRPr="005D7B7B">
              <w:t>е</w:t>
            </w:r>
            <w:r w:rsidRPr="005D7B7B">
              <w:t>ствление органами местного самоуправления отдельных госуда</w:t>
            </w:r>
            <w:r w:rsidRPr="005D7B7B">
              <w:t>р</w:t>
            </w:r>
            <w:r w:rsidRPr="005D7B7B">
              <w:t>ственных полномочий по осуществлению деятельности по опеке и попечительству в отношении совершеннолетних гра</w:t>
            </w:r>
            <w:r w:rsidRPr="005D7B7B">
              <w:t>ж</w:t>
            </w:r>
            <w:r w:rsidRPr="005D7B7B">
              <w:t xml:space="preserve">дан 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20230024050015150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</w:t>
            </w:r>
            <w:r w:rsidRPr="005D7B7B">
              <w:t>е</w:t>
            </w:r>
            <w:r w:rsidRPr="005D7B7B">
              <w:t>ствление органами местного самоуправления отдельных государственных полномочий по государстве</w:t>
            </w:r>
            <w:r w:rsidRPr="005D7B7B">
              <w:t>н</w:t>
            </w:r>
            <w:r w:rsidRPr="005D7B7B">
              <w:t xml:space="preserve">ному управлению охраной труда </w:t>
            </w:r>
          </w:p>
        </w:tc>
      </w:tr>
      <w:tr w:rsidR="0015459F" w:rsidRPr="005D7B7B" w:rsidTr="002F2B93">
        <w:trPr>
          <w:trHeight w:val="3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20230024050038150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 на осуществление органами местн</w:t>
            </w:r>
            <w:r w:rsidRPr="005D7B7B">
              <w:t>о</w:t>
            </w:r>
            <w:r w:rsidRPr="005D7B7B">
              <w:t>го самоуправления отдельных государственных полномочий по осуществлению деятельности по опеке и попеч</w:t>
            </w:r>
            <w:r w:rsidRPr="005D7B7B">
              <w:t>и</w:t>
            </w:r>
            <w:r w:rsidRPr="005D7B7B">
              <w:t>тельству в отношении несовершеннолетних граждан в части расходов на обеспечение деятел</w:t>
            </w:r>
            <w:r w:rsidRPr="005D7B7B">
              <w:t>ь</w:t>
            </w:r>
            <w:r w:rsidRPr="005D7B7B">
              <w:t>ности по сохранению, содержанию и ремонту пустующих жилых пом</w:t>
            </w:r>
            <w:r w:rsidRPr="005D7B7B">
              <w:t>е</w:t>
            </w:r>
            <w:r w:rsidRPr="005D7B7B">
              <w:t>щений, закрепленных за детьми-сиротами и детьми, оста</w:t>
            </w:r>
            <w:r w:rsidRPr="005D7B7B">
              <w:t>в</w:t>
            </w:r>
            <w:r w:rsidRPr="005D7B7B">
              <w:t xml:space="preserve">шимися без попечения родителей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20230024050039150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</w:t>
            </w:r>
            <w:r w:rsidRPr="005D7B7B">
              <w:t>е</w:t>
            </w:r>
            <w:r w:rsidRPr="005D7B7B">
              <w:t>ствление органами местного самоуправления отдельных госуда</w:t>
            </w:r>
            <w:r w:rsidRPr="005D7B7B">
              <w:t>р</w:t>
            </w:r>
            <w:r w:rsidRPr="005D7B7B">
              <w:t>ственных полномочий на организацию проведения мероприятий по отлову и с</w:t>
            </w:r>
            <w:r w:rsidRPr="005D7B7B">
              <w:t>о</w:t>
            </w:r>
            <w:r w:rsidRPr="005D7B7B">
              <w:t>держанию животных без владельцев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20230024050040150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пров</w:t>
            </w:r>
            <w:r w:rsidRPr="005D7B7B">
              <w:t>е</w:t>
            </w:r>
            <w:r w:rsidRPr="005D7B7B">
              <w:t>дение мероприятий по отлову и содержанию животных без вл</w:t>
            </w:r>
            <w:r w:rsidRPr="005D7B7B">
              <w:t>а</w:t>
            </w:r>
            <w:r w:rsidRPr="005D7B7B">
              <w:t>дельцев</w:t>
            </w:r>
          </w:p>
        </w:tc>
      </w:tr>
      <w:tr w:rsidR="0015459F" w:rsidRPr="005D7B7B" w:rsidTr="002F2B93">
        <w:trPr>
          <w:trHeight w:val="1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20249999050010150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</w:t>
            </w:r>
            <w:r w:rsidRPr="005D7B7B">
              <w:t>и</w:t>
            </w:r>
            <w:r w:rsidRPr="005D7B7B">
              <w:t>пальных районов области в целях проведения работ по обустро</w:t>
            </w:r>
            <w:r w:rsidRPr="005D7B7B">
              <w:t>й</w:t>
            </w:r>
            <w:r w:rsidRPr="005D7B7B">
              <w:t>ству пешеходных зон, велосипедных дорожек, благоустройству территорий, прилегающих к пешеходным зонам, созданию парковок, обустройству территории для организ</w:t>
            </w:r>
            <w:r w:rsidRPr="005D7B7B">
              <w:t>а</w:t>
            </w:r>
            <w:r w:rsidRPr="005D7B7B">
              <w:t>ции отдыха населения у воды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20249999050015150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</w:t>
            </w:r>
            <w:r w:rsidRPr="005D7B7B">
              <w:t>и</w:t>
            </w:r>
            <w:r w:rsidRPr="005D7B7B">
              <w:t>пальных районов области на размещение социально значимой и</w:t>
            </w:r>
            <w:r w:rsidRPr="005D7B7B">
              <w:t>н</w:t>
            </w:r>
            <w:r w:rsidRPr="005D7B7B">
              <w:t>формации в печатных средствах массовой информации, учрежденных органами мес</w:t>
            </w:r>
            <w:r w:rsidRPr="005D7B7B">
              <w:t>т</w:t>
            </w:r>
            <w:r w:rsidRPr="005D7B7B">
              <w:t>ного самоуправления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21925497050000150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 на реализацию мероприятий по обеспечению жильем м</w:t>
            </w:r>
            <w:r w:rsidRPr="005D7B7B">
              <w:t>о</w:t>
            </w:r>
            <w:r w:rsidRPr="005D7B7B">
              <w:t>лодых семей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057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Контрольно - счетная комиссия администрации Ртищевского мун</w:t>
            </w:r>
            <w:r w:rsidRPr="005D7B7B">
              <w:rPr>
                <w:b/>
                <w:bCs/>
              </w:rPr>
              <w:t>и</w:t>
            </w:r>
            <w:r w:rsidRPr="005D7B7B">
              <w:rPr>
                <w:b/>
                <w:bCs/>
              </w:rPr>
              <w:t xml:space="preserve">ципального района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057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12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Управление общего образования Администрации Ртищевского м</w:t>
            </w:r>
            <w:r w:rsidRPr="005D7B7B">
              <w:rPr>
                <w:b/>
                <w:bCs/>
              </w:rPr>
              <w:t>у</w:t>
            </w:r>
            <w:r w:rsidRPr="005D7B7B">
              <w:rPr>
                <w:b/>
                <w:bCs/>
              </w:rPr>
              <w:t>ниципального района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11302995050000130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доходы от компенсации затрат бюджетов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20225097050000150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5D7B7B">
              <w:t>ь</w:t>
            </w:r>
            <w:r w:rsidRPr="005D7B7B">
              <w:t>турой и спортом</w:t>
            </w:r>
          </w:p>
        </w:tc>
      </w:tr>
      <w:tr w:rsidR="0015459F" w:rsidRPr="005D7B7B" w:rsidTr="002F2B93">
        <w:trPr>
          <w:trHeight w:val="2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20225169050000150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создание (обно</w:t>
            </w:r>
            <w:r w:rsidRPr="005D7B7B">
              <w:t>в</w:t>
            </w:r>
            <w:r w:rsidRPr="005D7B7B">
              <w:t>ление) материально-технической базы для реализации основных и дополн</w:t>
            </w:r>
            <w:r w:rsidRPr="005D7B7B">
              <w:t>и</w:t>
            </w:r>
            <w:r w:rsidRPr="005D7B7B">
              <w:t>тельных общеобразовательных программ цифрового и гум</w:t>
            </w:r>
            <w:r w:rsidRPr="005D7B7B">
              <w:t>а</w:t>
            </w:r>
            <w:r w:rsidRPr="005D7B7B">
              <w:t>нитарного профилей в общеобразовательных организациях, расположенных в сел</w:t>
            </w:r>
            <w:r w:rsidRPr="005D7B7B">
              <w:t>ь</w:t>
            </w:r>
            <w:r w:rsidRPr="005D7B7B">
              <w:t>ской местности и малых городах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20229999050072150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реал</w:t>
            </w:r>
            <w:r w:rsidRPr="005D7B7B">
              <w:t>и</w:t>
            </w:r>
            <w:r w:rsidRPr="005D7B7B">
              <w:t>зацию мероприятий по содействию созданию новых мест в общеобразовател</w:t>
            </w:r>
            <w:r w:rsidRPr="005D7B7B">
              <w:t>ь</w:t>
            </w:r>
            <w:r w:rsidRPr="005D7B7B">
              <w:t>ных организациях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20229999050086150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пров</w:t>
            </w:r>
            <w:r w:rsidRPr="005D7B7B">
              <w:t>е</w:t>
            </w:r>
            <w:r w:rsidRPr="005D7B7B">
              <w:t>дение капитального и текущего ремонтов муниципальных образ</w:t>
            </w:r>
            <w:r w:rsidRPr="005D7B7B">
              <w:t>о</w:t>
            </w:r>
            <w:r w:rsidRPr="005D7B7B">
              <w:t>вательных организаций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20229999050087150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области на обесп</w:t>
            </w:r>
            <w:r w:rsidRPr="005D7B7B">
              <w:t>е</w:t>
            </w:r>
            <w:r w:rsidRPr="005D7B7B">
              <w:t>чение условий для создания центров образования цифрового и гуманитарного профилей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20230024050001150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фина</w:t>
            </w:r>
            <w:r w:rsidRPr="005D7B7B">
              <w:t>н</w:t>
            </w:r>
            <w:r w:rsidRPr="005D7B7B">
              <w:t>совое обеспечение образовательной деятельности муниципальных общеобр</w:t>
            </w:r>
            <w:r w:rsidRPr="005D7B7B">
              <w:t>а</w:t>
            </w:r>
            <w:r w:rsidRPr="005D7B7B">
              <w:t xml:space="preserve">зовательных организаций </w:t>
            </w:r>
          </w:p>
        </w:tc>
      </w:tr>
      <w:tr w:rsidR="0015459F" w:rsidRPr="005D7B7B" w:rsidTr="002F2B93">
        <w:trPr>
          <w:trHeight w:val="13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20230024050012150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организации предоставления компенсации родительской платы  за пр</w:t>
            </w:r>
            <w:r w:rsidRPr="005D7B7B">
              <w:t>и</w:t>
            </w:r>
            <w:r w:rsidRPr="005D7B7B">
              <w:t xml:space="preserve">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20230024050014150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 компенсацию родительской платы за пр</w:t>
            </w:r>
            <w:r w:rsidRPr="005D7B7B">
              <w:t>и</w:t>
            </w:r>
            <w:r w:rsidRPr="005D7B7B">
              <w:t>смотр и уход за детьми в образовательных организациях, реализующих основную общеобразовател</w:t>
            </w:r>
            <w:r w:rsidRPr="005D7B7B">
              <w:t>ь</w:t>
            </w:r>
            <w:r w:rsidRPr="005D7B7B">
              <w:t xml:space="preserve">ную программу дошкольного образования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20230024050027150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</w:t>
            </w:r>
            <w:r w:rsidRPr="005D7B7B">
              <w:t>о</w:t>
            </w:r>
            <w:r w:rsidRPr="005D7B7B">
              <w:t>граммы начального общего, основного общего и среднего общего обр</w:t>
            </w:r>
            <w:r w:rsidRPr="005D7B7B">
              <w:t>а</w:t>
            </w:r>
            <w:r w:rsidRPr="005D7B7B">
              <w:t xml:space="preserve">зования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20230024050028150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частичное финансиров</w:t>
            </w:r>
            <w:r w:rsidRPr="005D7B7B">
              <w:t>а</w:t>
            </w:r>
            <w:r w:rsidRPr="005D7B7B">
              <w:t>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</w:t>
            </w:r>
            <w:r w:rsidRPr="005D7B7B">
              <w:t>о</w:t>
            </w:r>
            <w:r w:rsidRPr="005D7B7B">
              <w:t xml:space="preserve">грамму дошкольного образования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20230024050029150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осуществление органами местного сам</w:t>
            </w:r>
            <w:r w:rsidRPr="005D7B7B">
              <w:t>о</w:t>
            </w:r>
            <w:r w:rsidRPr="005D7B7B">
              <w:t>управления государственных полномочий по организации предоставления питания отдельным категориям обучающихся в муниципальных образовательных о</w:t>
            </w:r>
            <w:r w:rsidRPr="005D7B7B">
              <w:t>р</w:t>
            </w:r>
            <w:r w:rsidRPr="005D7B7B">
              <w:t>ганизациях, реализующих образовательные программы начальн</w:t>
            </w:r>
            <w:r w:rsidRPr="005D7B7B">
              <w:t>о</w:t>
            </w:r>
            <w:r w:rsidRPr="005D7B7B">
              <w:t xml:space="preserve">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459F" w:rsidRPr="005D7B7B" w:rsidTr="002F2B93">
        <w:trPr>
          <w:trHeight w:val="28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20230024050033150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осущ</w:t>
            </w:r>
            <w:r w:rsidRPr="005D7B7B">
              <w:t>е</w:t>
            </w:r>
            <w:r w:rsidRPr="005D7B7B">
              <w:t>ствление органами местного самоуправления отдельных госуда</w:t>
            </w:r>
            <w:r w:rsidRPr="005D7B7B">
              <w:t>р</w:t>
            </w:r>
            <w:r w:rsidRPr="005D7B7B">
              <w:t>ственных полномочий по предоставлению субсидии частным о</w:t>
            </w:r>
            <w:r w:rsidRPr="005D7B7B">
              <w:t>б</w:t>
            </w:r>
            <w:r w:rsidRPr="005D7B7B">
              <w:t>щеобразовательным организациям, осуществляющим образов</w:t>
            </w:r>
            <w:r w:rsidRPr="005D7B7B">
              <w:t>а</w:t>
            </w:r>
            <w:r w:rsidRPr="005D7B7B">
              <w:t>тельную деятельность по имеющим государственную аккредитацию основным общеобразовател</w:t>
            </w:r>
            <w:r w:rsidRPr="005D7B7B">
              <w:t>ь</w:t>
            </w:r>
            <w:r w:rsidRPr="005D7B7B">
              <w:t>ным программам, на возмещение затрат на обеспечение образов</w:t>
            </w:r>
            <w:r w:rsidRPr="005D7B7B">
              <w:t>а</w:t>
            </w:r>
            <w:r w:rsidRPr="005D7B7B">
              <w:t xml:space="preserve">тельной деятельности </w:t>
            </w:r>
          </w:p>
        </w:tc>
      </w:tr>
      <w:tr w:rsidR="0015459F" w:rsidRPr="005D7B7B" w:rsidTr="002F2B93">
        <w:trPr>
          <w:trHeight w:val="18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20230024050034150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jc w:val="both"/>
            </w:pPr>
            <w:r w:rsidRPr="005D7B7B">
              <w:t>Субвенции бюджетам муниципальных районов области на организацию осуществления органами местного самоуправления отдельных государственных полномочий по предоставлению субс</w:t>
            </w:r>
            <w:r w:rsidRPr="005D7B7B">
              <w:t>и</w:t>
            </w:r>
            <w:r w:rsidRPr="005D7B7B">
              <w:t>дии частным общеобразовательным организациям, осуществля</w:t>
            </w:r>
            <w:r w:rsidRPr="005D7B7B">
              <w:t>ю</w:t>
            </w:r>
            <w:r w:rsidRPr="005D7B7B">
              <w:t>щим образовательную деятельность по имеющим государственную аккредитацию основным общео</w:t>
            </w:r>
            <w:r w:rsidRPr="005D7B7B">
              <w:t>б</w:t>
            </w:r>
            <w:r w:rsidRPr="005D7B7B">
              <w:t>разовательным программам, на возмещение затрат на обеспечение образовательной деятельн</w:t>
            </w:r>
            <w:r w:rsidRPr="005D7B7B">
              <w:t>о</w:t>
            </w:r>
            <w:r w:rsidRPr="005D7B7B">
              <w:t>сти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20230024050037150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Субвенции бюджетам муниципальных районов области на фина</w:t>
            </w:r>
            <w:r w:rsidRPr="005D7B7B">
              <w:t>н</w:t>
            </w:r>
            <w:r w:rsidRPr="005D7B7B">
              <w:t>совое обеспечение образовательной деятельности муниципальных дошкольных образовательных орг</w:t>
            </w:r>
            <w:r w:rsidRPr="005D7B7B">
              <w:t>а</w:t>
            </w:r>
            <w:r w:rsidRPr="005D7B7B">
              <w:t xml:space="preserve">низаций 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бюджетными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автономными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Отдел культуры и кино администрации Ртищевского муниципал</w:t>
            </w:r>
            <w:r w:rsidRPr="005D7B7B">
              <w:rPr>
                <w:b/>
                <w:bCs/>
              </w:rPr>
              <w:t>ь</w:t>
            </w:r>
            <w:r w:rsidRPr="005D7B7B">
              <w:rPr>
                <w:b/>
                <w:bCs/>
              </w:rPr>
              <w:t>ного района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11302995050000130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Прочие доходы от компенсации затрат бюджетов муниципальных ра</w:t>
            </w:r>
            <w:r w:rsidRPr="005D7B7B">
              <w:t>й</w:t>
            </w:r>
            <w:r w:rsidRPr="005D7B7B">
              <w:t>онов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20225519050000150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на государственную поддержку отра</w:t>
            </w:r>
            <w:r w:rsidRPr="005D7B7B">
              <w:t>с</w:t>
            </w:r>
            <w:r w:rsidRPr="005D7B7B">
              <w:t xml:space="preserve">ли культуры </w:t>
            </w:r>
          </w:p>
        </w:tc>
      </w:tr>
      <w:tr w:rsidR="0015459F" w:rsidRPr="005D7B7B" w:rsidTr="002F2B93">
        <w:trPr>
          <w:trHeight w:val="157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20225519050000150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на государственную поддержку отрасли культуры  (Подключение муниципальных общедоступных библиотек и государственных центральных библи</w:t>
            </w:r>
            <w:r w:rsidRPr="005D7B7B">
              <w:t>о</w:t>
            </w:r>
            <w:r w:rsidRPr="005D7B7B">
              <w:t>тек субъектов Российской Федерации к информационно-телекоммуникационной сети "Интернет" и развитие библиотечн</w:t>
            </w:r>
            <w:r w:rsidRPr="005D7B7B">
              <w:t>о</w:t>
            </w:r>
            <w:r w:rsidRPr="005D7B7B">
              <w:t>го дела с учетом задачи расширения информационных технологий и оцифровки)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20225519050000150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на государственную поддержку отрасли культуры (Государственная поддержка мун</w:t>
            </w:r>
            <w:r w:rsidRPr="005D7B7B">
              <w:t>и</w:t>
            </w:r>
            <w:r w:rsidRPr="005D7B7B">
              <w:t>ципальных учреждений культуры, находящихся на территории сел</w:t>
            </w:r>
            <w:r w:rsidRPr="005D7B7B">
              <w:t>ь</w:t>
            </w:r>
            <w:r w:rsidRPr="005D7B7B">
              <w:t>ских поселений)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20225519050000150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Субсидия бюджетам муниципальных районов на государственную поддержку отрасли культуры (Государственная поддержка лучших работников муниципальных учреждений культуры, наход</w:t>
            </w:r>
            <w:r w:rsidRPr="005D7B7B">
              <w:t>я</w:t>
            </w:r>
            <w:r w:rsidRPr="005D7B7B">
              <w:t>щихся на территории сельских поселений)</w:t>
            </w:r>
          </w:p>
        </w:tc>
      </w:tr>
      <w:tr w:rsidR="0015459F" w:rsidRPr="005D7B7B" w:rsidTr="002F2B93">
        <w:trPr>
          <w:trHeight w:val="23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20225467050000150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Субсидии бюджетам муниципальных районов на обеспечение ра</w:t>
            </w:r>
            <w:r w:rsidRPr="005D7B7B">
              <w:t>з</w:t>
            </w:r>
            <w:r w:rsidRPr="005D7B7B">
              <w:t>вития и укрепления материально-технической базы домов культуры в населенных пунктах с числом ж</w:t>
            </w:r>
            <w:r w:rsidRPr="005D7B7B">
              <w:t>и</w:t>
            </w:r>
            <w:r w:rsidRPr="005D7B7B">
              <w:t>телей до 50 тысяч человек</w:t>
            </w:r>
          </w:p>
        </w:tc>
      </w:tr>
      <w:tr w:rsidR="0015459F" w:rsidRPr="005D7B7B" w:rsidTr="002F2B93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20245453050000150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9F" w:rsidRPr="005D7B7B" w:rsidRDefault="0015459F" w:rsidP="002F2B93">
            <w:r w:rsidRPr="005D7B7B">
              <w:t>Межбюджетные трансферты, передаваемые бюджетам муниципальных районов о</w:t>
            </w:r>
            <w:r w:rsidRPr="005D7B7B">
              <w:t>б</w:t>
            </w:r>
            <w:r w:rsidRPr="005D7B7B">
              <w:t>ласти на создание виртуальных концертных залов</w:t>
            </w:r>
          </w:p>
        </w:tc>
      </w:tr>
      <w:tr w:rsidR="0015459F" w:rsidRPr="005D7B7B" w:rsidTr="002F2B93">
        <w:trPr>
          <w:trHeight w:val="1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бюджетными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автономными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  <w:rPr>
                <w:b/>
                <w:bCs/>
              </w:rPr>
            </w:pPr>
            <w:r w:rsidRPr="005D7B7B">
              <w:rPr>
                <w:b/>
                <w:bCs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b/>
                <w:bCs/>
              </w:rPr>
            </w:pPr>
            <w:r w:rsidRPr="005D7B7B">
              <w:rPr>
                <w:b/>
                <w:bCs/>
              </w:rPr>
              <w:t>Отдел по спорту и туризму Администрации Ртищевского муниципального ра</w:t>
            </w:r>
            <w:r w:rsidRPr="005D7B7B">
              <w:rPr>
                <w:b/>
                <w:bCs/>
              </w:rPr>
              <w:t>й</w:t>
            </w:r>
            <w:r w:rsidRPr="005D7B7B">
              <w:rPr>
                <w:b/>
                <w:bCs/>
              </w:rPr>
              <w:t>она</w:t>
            </w:r>
          </w:p>
        </w:tc>
      </w:tr>
      <w:tr w:rsidR="0015459F" w:rsidRPr="005D7B7B" w:rsidTr="002F2B93">
        <w:trPr>
          <w:trHeight w:val="9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11633050050000140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Денежные взыскания (штрафы) за нарушение законодательства Российской Федер</w:t>
            </w:r>
            <w:r w:rsidRPr="005D7B7B">
              <w:t>а</w:t>
            </w:r>
            <w:r w:rsidRPr="005D7B7B">
              <w:t>ции о контрактной системе в сфере закупок товаров, работ, услуг для обеспечения государственных и мун</w:t>
            </w:r>
            <w:r w:rsidRPr="005D7B7B">
              <w:t>и</w:t>
            </w:r>
            <w:r w:rsidRPr="005D7B7B">
              <w:t xml:space="preserve">ципальных нужд для нужд муниципальных районов 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11701050050000180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Невыясненные поступления, зачисляемые в   бюджеты муниц</w:t>
            </w:r>
            <w:r w:rsidRPr="005D7B7B">
              <w:t>и</w:t>
            </w:r>
            <w:r w:rsidRPr="005D7B7B">
              <w:t>пальных районов</w:t>
            </w:r>
          </w:p>
        </w:tc>
      </w:tr>
      <w:tr w:rsidR="0015459F" w:rsidRPr="005D7B7B" w:rsidTr="002F2B93">
        <w:trPr>
          <w:trHeight w:val="22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бюджетными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18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21805020050000150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автономными учреждениями остатков субс</w:t>
            </w:r>
            <w:r w:rsidRPr="005D7B7B">
              <w:t>и</w:t>
            </w:r>
            <w:r w:rsidRPr="005D7B7B">
              <w:t>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7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21805030050000150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Доходы бюджетов муниципальных районов от возврата иными орган</w:t>
            </w:r>
            <w:r w:rsidRPr="005D7B7B">
              <w:t>и</w:t>
            </w:r>
            <w:r w:rsidRPr="005D7B7B">
              <w:t>зациями остатков субсидий прошлых лет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21900000050000150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остатков субсидий, субвенций и иных межбюджетных трансфертов, имеющих целевое назначение прошлых лет из бюджетов мун</w:t>
            </w:r>
            <w:r w:rsidRPr="005D7B7B">
              <w:t>и</w:t>
            </w:r>
            <w:r w:rsidRPr="005D7B7B">
              <w:t>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6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jc w:val="center"/>
            </w:pPr>
            <w:r w:rsidRPr="005D7B7B"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r w:rsidRPr="005D7B7B">
              <w:t>21960010050000150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r w:rsidRPr="005D7B7B">
              <w:t>Возврат прочих остатков субсидий, субвенций и иных межбюджетных трансфертов, имеющих цел</w:t>
            </w:r>
            <w:r w:rsidRPr="005D7B7B">
              <w:t>е</w:t>
            </w:r>
            <w:r w:rsidRPr="005D7B7B">
              <w:t>вое назначение прошлых лет из бюджетов муниципальных районов</w:t>
            </w:r>
            <w:r w:rsidRPr="005D7B7B">
              <w:rPr>
                <w:vertAlign w:val="superscript"/>
              </w:rPr>
              <w:t>2</w:t>
            </w:r>
          </w:p>
        </w:tc>
      </w:tr>
      <w:tr w:rsidR="0015459F" w:rsidRPr="005D7B7B" w:rsidTr="002F2B93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9F" w:rsidRDefault="0015459F" w:rsidP="002F2B93">
            <w:pPr>
              <w:rPr>
                <w:sz w:val="24"/>
                <w:szCs w:val="24"/>
              </w:rPr>
            </w:pPr>
            <w:r w:rsidRPr="005D7B7B">
              <w:rPr>
                <w:sz w:val="24"/>
                <w:szCs w:val="24"/>
                <w:vertAlign w:val="superscript"/>
              </w:rPr>
              <w:t xml:space="preserve">1 </w:t>
            </w:r>
            <w:r w:rsidRPr="005D7B7B">
              <w:rPr>
                <w:sz w:val="24"/>
                <w:szCs w:val="24"/>
              </w:rPr>
              <w:t>Главным администратором может осуществляться администрирование поступлений по всем группам подвидов данн</w:t>
            </w:r>
            <w:r w:rsidRPr="005D7B7B">
              <w:rPr>
                <w:sz w:val="24"/>
                <w:szCs w:val="24"/>
              </w:rPr>
              <w:t>о</w:t>
            </w:r>
            <w:r w:rsidRPr="005D7B7B">
              <w:rPr>
                <w:sz w:val="24"/>
                <w:szCs w:val="24"/>
              </w:rPr>
              <w:t>го вида доходов.</w:t>
            </w:r>
          </w:p>
          <w:p w:rsidR="0015459F" w:rsidRPr="005D7B7B" w:rsidRDefault="0015459F" w:rsidP="002F2B93">
            <w:pPr>
              <w:rPr>
                <w:sz w:val="24"/>
                <w:szCs w:val="24"/>
              </w:rPr>
            </w:pPr>
          </w:p>
        </w:tc>
      </w:tr>
      <w:tr w:rsidR="0015459F" w:rsidRPr="005D7B7B" w:rsidTr="002F2B93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9F" w:rsidRPr="005D7B7B" w:rsidRDefault="0015459F" w:rsidP="002F2B93">
            <w:pPr>
              <w:rPr>
                <w:sz w:val="24"/>
                <w:szCs w:val="24"/>
              </w:rPr>
            </w:pPr>
            <w:r w:rsidRPr="005D7B7B">
              <w:rPr>
                <w:sz w:val="24"/>
                <w:szCs w:val="24"/>
                <w:vertAlign w:val="superscript"/>
              </w:rPr>
              <w:t xml:space="preserve">2 </w:t>
            </w:r>
            <w:r w:rsidRPr="005D7B7B">
              <w:rPr>
                <w:sz w:val="24"/>
                <w:szCs w:val="24"/>
              </w:rPr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5459F"/>
    <w:rsid w:val="0015459F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5459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4621</Words>
  <Characters>26345</Characters>
  <Application>Microsoft Office Word</Application>
  <DocSecurity>0</DocSecurity>
  <Lines>219</Lines>
  <Paragraphs>61</Paragraphs>
  <ScaleCrop>false</ScaleCrop>
  <Company/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2019-12-19T08:38:00Z</dcterms:created>
  <dcterms:modified xsi:type="dcterms:W3CDTF">2019-12-19T08:39:00Z</dcterms:modified>
</cp:coreProperties>
</file>